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A889" w14:textId="4826C2D4" w:rsidR="00AF1466" w:rsidRDefault="00000000"/>
    <w:p w14:paraId="120D25BF" w14:textId="63A0B2C0" w:rsidR="00C70046" w:rsidRDefault="00C70046"/>
    <w:p w14:paraId="6121E000" w14:textId="77777777" w:rsidR="00C70046" w:rsidRDefault="00C70046" w:rsidP="00C70046">
      <w:pPr>
        <w:rPr>
          <w:rFonts w:ascii="Arial" w:hAnsi="Arial" w:cs="Arial"/>
          <w:b/>
          <w:bCs/>
          <w:sz w:val="32"/>
          <w:szCs w:val="32"/>
        </w:rPr>
      </w:pPr>
      <w:r>
        <w:rPr>
          <w:rFonts w:ascii="Arial" w:hAnsi="Arial" w:cs="Arial"/>
          <w:b/>
          <w:bCs/>
          <w:sz w:val="32"/>
          <w:szCs w:val="32"/>
        </w:rPr>
        <w:t>Memorandum from CEO:</w:t>
      </w:r>
    </w:p>
    <w:p w14:paraId="2AC1F3F8" w14:textId="77777777" w:rsidR="006704F7" w:rsidRDefault="006704F7" w:rsidP="00C70046">
      <w:pPr>
        <w:rPr>
          <w:rFonts w:ascii="Arial" w:hAnsi="Arial" w:cs="Arial"/>
          <w:b/>
          <w:bCs/>
          <w:sz w:val="32"/>
          <w:szCs w:val="32"/>
        </w:rPr>
      </w:pPr>
    </w:p>
    <w:p w14:paraId="483C2178" w14:textId="32150D30" w:rsidR="00C70046" w:rsidRPr="00834241" w:rsidRDefault="00653312" w:rsidP="00C70046">
      <w:pPr>
        <w:rPr>
          <w:rFonts w:ascii="Arial" w:hAnsi="Arial" w:cs="Arial"/>
          <w:b/>
          <w:bCs/>
          <w:sz w:val="32"/>
          <w:szCs w:val="32"/>
        </w:rPr>
      </w:pPr>
      <w:r>
        <w:rPr>
          <w:rFonts w:ascii="Arial" w:hAnsi="Arial" w:cs="Arial"/>
          <w:b/>
          <w:bCs/>
          <w:sz w:val="32"/>
          <w:szCs w:val="32"/>
        </w:rPr>
        <w:t>2023 Disciplinary</w:t>
      </w:r>
      <w:r w:rsidR="00C70046">
        <w:rPr>
          <w:rFonts w:ascii="Arial" w:hAnsi="Arial" w:cs="Arial"/>
          <w:b/>
          <w:bCs/>
          <w:sz w:val="32"/>
          <w:szCs w:val="32"/>
        </w:rPr>
        <w:t xml:space="preserve"> Regulations</w:t>
      </w:r>
    </w:p>
    <w:p w14:paraId="45DCD08F" w14:textId="77777777" w:rsidR="00C70046" w:rsidRPr="00834241" w:rsidRDefault="00C70046" w:rsidP="00C70046">
      <w:pPr>
        <w:rPr>
          <w:rFonts w:ascii="Arial" w:hAnsi="Arial" w:cs="Arial"/>
        </w:rPr>
      </w:pPr>
    </w:p>
    <w:p w14:paraId="5CCD9361" w14:textId="40A7AAA2" w:rsidR="00C70046" w:rsidRPr="00201AE3" w:rsidRDefault="00C70046" w:rsidP="00C70046">
      <w:pPr>
        <w:rPr>
          <w:rFonts w:ascii="Arial" w:hAnsi="Arial" w:cs="Arial"/>
        </w:rPr>
      </w:pPr>
      <w:r w:rsidRPr="00201AE3">
        <w:rPr>
          <w:rFonts w:ascii="Arial" w:hAnsi="Arial" w:cs="Arial"/>
        </w:rPr>
        <w:t xml:space="preserve">This memorandum briefly introduces draft revised </w:t>
      </w:r>
      <w:r w:rsidR="00653312">
        <w:rPr>
          <w:rFonts w:ascii="Arial" w:hAnsi="Arial" w:cs="Arial"/>
        </w:rPr>
        <w:t>Dispute and Disciplinary R</w:t>
      </w:r>
      <w:r w:rsidRPr="00201AE3">
        <w:rPr>
          <w:rFonts w:ascii="Arial" w:hAnsi="Arial" w:cs="Arial"/>
        </w:rPr>
        <w:t>egulations</w:t>
      </w:r>
      <w:r w:rsidR="005A66E7" w:rsidRPr="00201AE3">
        <w:rPr>
          <w:rFonts w:ascii="Arial" w:hAnsi="Arial" w:cs="Arial"/>
        </w:rPr>
        <w:t xml:space="preserve"> for </w:t>
      </w:r>
      <w:r w:rsidR="00653312">
        <w:rPr>
          <w:rFonts w:ascii="Arial" w:hAnsi="Arial" w:cs="Arial"/>
        </w:rPr>
        <w:t>2023</w:t>
      </w:r>
      <w:r w:rsidRPr="00201AE3">
        <w:rPr>
          <w:rFonts w:ascii="Arial" w:hAnsi="Arial" w:cs="Arial"/>
        </w:rPr>
        <w:t>(accompanying the memorandum).</w:t>
      </w:r>
    </w:p>
    <w:p w14:paraId="614CA836" w14:textId="77777777" w:rsidR="00201AE3" w:rsidRPr="00201AE3" w:rsidRDefault="00201AE3" w:rsidP="00201AE3">
      <w:pPr>
        <w:pBdr>
          <w:bottom w:val="single" w:sz="4" w:space="1" w:color="auto"/>
        </w:pBdr>
        <w:rPr>
          <w:rFonts w:ascii="Arial" w:hAnsi="Arial" w:cs="Arial"/>
        </w:rPr>
      </w:pPr>
    </w:p>
    <w:p w14:paraId="5B3A9F35" w14:textId="77777777" w:rsidR="00653312" w:rsidRPr="00201AE3" w:rsidRDefault="00653312" w:rsidP="00C70046">
      <w:pPr>
        <w:rPr>
          <w:rFonts w:ascii="Arial" w:hAnsi="Arial" w:cs="Arial"/>
        </w:rPr>
      </w:pPr>
    </w:p>
    <w:p w14:paraId="204C8B54" w14:textId="4DE5D469" w:rsidR="00653312" w:rsidRPr="00653312" w:rsidRDefault="00653312" w:rsidP="00653312">
      <w:pPr>
        <w:pStyle w:val="ListParagraph"/>
        <w:numPr>
          <w:ilvl w:val="0"/>
          <w:numId w:val="2"/>
        </w:numPr>
        <w:rPr>
          <w:rFonts w:ascii="Arial" w:hAnsi="Arial" w:cs="Arial"/>
          <w:b/>
          <w:bCs/>
        </w:rPr>
      </w:pPr>
      <w:r w:rsidRPr="00653312">
        <w:rPr>
          <w:rFonts w:ascii="Arial" w:hAnsi="Arial" w:cs="Arial"/>
          <w:b/>
          <w:bCs/>
        </w:rPr>
        <w:t>Inclusion of Fines previously in Competition Regulations</w:t>
      </w:r>
    </w:p>
    <w:p w14:paraId="489D022F" w14:textId="77777777" w:rsidR="00653312" w:rsidRDefault="00653312" w:rsidP="00CA05AD">
      <w:pPr>
        <w:rPr>
          <w:rFonts w:ascii="Arial" w:hAnsi="Arial" w:cs="Arial"/>
        </w:rPr>
      </w:pPr>
    </w:p>
    <w:p w14:paraId="0873D16E" w14:textId="1B07FEC5" w:rsidR="00653312" w:rsidRDefault="00653312" w:rsidP="00CA05AD">
      <w:pPr>
        <w:rPr>
          <w:rFonts w:ascii="Arial" w:hAnsi="Arial" w:cs="Arial"/>
        </w:rPr>
      </w:pPr>
      <w:r>
        <w:rPr>
          <w:rFonts w:ascii="Arial" w:hAnsi="Arial" w:cs="Arial"/>
        </w:rPr>
        <w:t xml:space="preserve">The revised Disciplinary Regulations now include Section </w:t>
      </w:r>
      <w:r w:rsidR="00611C47">
        <w:rPr>
          <w:rFonts w:ascii="Arial" w:hAnsi="Arial" w:cs="Arial"/>
        </w:rPr>
        <w:t xml:space="preserve">3 </w:t>
      </w:r>
      <w:r>
        <w:rPr>
          <w:rFonts w:ascii="Arial" w:hAnsi="Arial" w:cs="Arial"/>
        </w:rPr>
        <w:t>Article</w:t>
      </w:r>
      <w:r w:rsidR="00611C47">
        <w:rPr>
          <w:rFonts w:ascii="Arial" w:hAnsi="Arial" w:cs="Arial"/>
        </w:rPr>
        <w:t>s 8 and 9</w:t>
      </w:r>
      <w:r w:rsidR="008B1ECE">
        <w:rPr>
          <w:rFonts w:ascii="Arial" w:hAnsi="Arial" w:cs="Arial"/>
        </w:rPr>
        <w:t>,</w:t>
      </w:r>
      <w:r>
        <w:rPr>
          <w:rFonts w:ascii="Arial" w:hAnsi="Arial" w:cs="Arial"/>
        </w:rPr>
        <w:t xml:space="preserve"> </w:t>
      </w:r>
      <w:r w:rsidR="00957BE7">
        <w:rPr>
          <w:rFonts w:ascii="Arial" w:hAnsi="Arial" w:cs="Arial"/>
        </w:rPr>
        <w:t xml:space="preserve">provisions </w:t>
      </w:r>
      <w:r>
        <w:rPr>
          <w:rFonts w:ascii="Arial" w:hAnsi="Arial" w:cs="Arial"/>
        </w:rPr>
        <w:t xml:space="preserve">which were previously located within the </w:t>
      </w:r>
      <w:r w:rsidR="00957BE7">
        <w:rPr>
          <w:rFonts w:ascii="Arial" w:hAnsi="Arial" w:cs="Arial"/>
        </w:rPr>
        <w:t xml:space="preserve">NPL/CPL </w:t>
      </w:r>
      <w:r>
        <w:rPr>
          <w:rFonts w:ascii="Arial" w:hAnsi="Arial" w:cs="Arial"/>
        </w:rPr>
        <w:t>Competition Regulations</w:t>
      </w:r>
      <w:r w:rsidR="00957BE7">
        <w:rPr>
          <w:rFonts w:ascii="Arial" w:hAnsi="Arial" w:cs="Arial"/>
        </w:rPr>
        <w:t>.</w:t>
      </w:r>
      <w:r w:rsidR="00611C47">
        <w:rPr>
          <w:rFonts w:ascii="Arial" w:hAnsi="Arial" w:cs="Arial"/>
        </w:rPr>
        <w:t xml:space="preserve"> Section 5 Article 14:</w:t>
      </w:r>
    </w:p>
    <w:p w14:paraId="587381D2" w14:textId="62483B0A" w:rsidR="00611C47" w:rsidRPr="00611C47" w:rsidRDefault="00611C47" w:rsidP="00611C47">
      <w:pPr>
        <w:ind w:left="567"/>
        <w:rPr>
          <w:rFonts w:ascii="Arial" w:hAnsi="Arial" w:cs="Arial"/>
          <w:i/>
          <w:iCs/>
        </w:rPr>
      </w:pPr>
    </w:p>
    <w:p w14:paraId="60A7B54B" w14:textId="70FD0639" w:rsidR="00611C47" w:rsidRPr="00611C47" w:rsidRDefault="00611C47" w:rsidP="00611C47">
      <w:pPr>
        <w:pStyle w:val="NormalWeb"/>
        <w:numPr>
          <w:ilvl w:val="0"/>
          <w:numId w:val="4"/>
        </w:numPr>
        <w:shd w:val="clear" w:color="auto" w:fill="FFFFFF"/>
        <w:spacing w:before="0" w:beforeAutospacing="0" w:after="0" w:afterAutospacing="0"/>
        <w:ind w:left="1134"/>
        <w:rPr>
          <w:i/>
          <w:iCs/>
        </w:rPr>
      </w:pPr>
      <w:r w:rsidRPr="00611C47">
        <w:rPr>
          <w:rFonts w:ascii="ArialMT" w:hAnsi="ArialMT"/>
          <w:i/>
          <w:iCs/>
        </w:rPr>
        <w:t>Clubs will receive the following automatic fines</w:t>
      </w:r>
      <w:r w:rsidRPr="00611C47">
        <w:rPr>
          <w:rFonts w:ascii="ArialMT" w:hAnsi="ArialMT"/>
          <w:i/>
          <w:iCs/>
        </w:rPr>
        <w:t>:</w:t>
      </w:r>
    </w:p>
    <w:p w14:paraId="539E54E8" w14:textId="77777777" w:rsidR="00611C47" w:rsidRPr="00611C47" w:rsidRDefault="00611C47" w:rsidP="00611C47">
      <w:pPr>
        <w:pStyle w:val="NormalWeb"/>
        <w:shd w:val="clear" w:color="auto" w:fill="FFFFFF"/>
        <w:spacing w:before="0" w:beforeAutospacing="0" w:after="0" w:afterAutospacing="0"/>
        <w:ind w:left="567"/>
        <w:rPr>
          <w:i/>
          <w:iCs/>
        </w:rPr>
      </w:pPr>
    </w:p>
    <w:p w14:paraId="7AAA5B0B" w14:textId="5050575B" w:rsidR="00611C47" w:rsidRPr="00611C47" w:rsidRDefault="00611C47" w:rsidP="00611C47">
      <w:pPr>
        <w:pStyle w:val="NormalWeb"/>
        <w:numPr>
          <w:ilvl w:val="1"/>
          <w:numId w:val="4"/>
        </w:numPr>
        <w:shd w:val="clear" w:color="auto" w:fill="FFFFFF"/>
        <w:spacing w:before="0" w:beforeAutospacing="0" w:after="0" w:afterAutospacing="0"/>
        <w:ind w:left="1701"/>
        <w:rPr>
          <w:i/>
          <w:iCs/>
        </w:rPr>
      </w:pPr>
      <w:r w:rsidRPr="00611C47">
        <w:rPr>
          <w:rFonts w:ascii="ArialMT" w:hAnsi="ArialMT"/>
          <w:i/>
          <w:iCs/>
        </w:rPr>
        <w:t>When five (5) or more Players or Team Officials from the same Team receive a caution, temporary dismissal or send off in the same Match.</w:t>
      </w:r>
    </w:p>
    <w:p w14:paraId="03689B4F" w14:textId="77777777" w:rsidR="00611C47" w:rsidRPr="00611C47" w:rsidRDefault="00611C47" w:rsidP="00611C47">
      <w:pPr>
        <w:pStyle w:val="NormalWeb"/>
        <w:numPr>
          <w:ilvl w:val="1"/>
          <w:numId w:val="4"/>
        </w:numPr>
        <w:shd w:val="clear" w:color="auto" w:fill="FFFFFF"/>
        <w:spacing w:before="0" w:beforeAutospacing="0" w:after="0" w:afterAutospacing="0"/>
        <w:ind w:left="1701"/>
        <w:rPr>
          <w:i/>
          <w:iCs/>
        </w:rPr>
      </w:pPr>
      <w:r w:rsidRPr="00611C47">
        <w:rPr>
          <w:rFonts w:ascii="ArialMT" w:hAnsi="ArialMT"/>
          <w:i/>
          <w:iCs/>
        </w:rPr>
        <w:t xml:space="preserve">When three (3) or more Players or Team Officials from the same Team are sent off in the same Match. </w:t>
      </w:r>
    </w:p>
    <w:p w14:paraId="5F1AD8B9" w14:textId="77777777" w:rsidR="00611C47" w:rsidRPr="00611C47" w:rsidRDefault="00611C47" w:rsidP="00611C47">
      <w:pPr>
        <w:pStyle w:val="ListParagraph"/>
        <w:ind w:left="1287"/>
        <w:rPr>
          <w:rFonts w:ascii="ArialMT" w:hAnsi="ArialMT"/>
          <w:i/>
          <w:iCs/>
        </w:rPr>
      </w:pPr>
    </w:p>
    <w:p w14:paraId="22508520" w14:textId="7314722D" w:rsidR="00611C47" w:rsidRPr="00611C47" w:rsidRDefault="00611C47" w:rsidP="00611C47">
      <w:pPr>
        <w:pStyle w:val="NormalWeb"/>
        <w:numPr>
          <w:ilvl w:val="0"/>
          <w:numId w:val="4"/>
        </w:numPr>
        <w:shd w:val="clear" w:color="auto" w:fill="FFFFFF"/>
        <w:spacing w:before="0" w:beforeAutospacing="0" w:after="0" w:afterAutospacing="0"/>
        <w:ind w:left="1134"/>
        <w:rPr>
          <w:i/>
          <w:iCs/>
        </w:rPr>
      </w:pPr>
      <w:r w:rsidRPr="00611C47">
        <w:rPr>
          <w:rFonts w:ascii="ArialMT" w:hAnsi="ArialMT"/>
          <w:i/>
          <w:iCs/>
        </w:rPr>
        <w:t xml:space="preserve">For the avoidance of doubt, these fines are payable in addition to any sanctions imposed against Clubs or their Players </w:t>
      </w:r>
      <w:r w:rsidRPr="00611C47">
        <w:rPr>
          <w:rFonts w:ascii="ArialMT" w:hAnsi="ArialMT"/>
          <w:i/>
          <w:iCs/>
        </w:rPr>
        <w:t>elsewhere in</w:t>
      </w:r>
      <w:r w:rsidRPr="00611C47">
        <w:rPr>
          <w:rFonts w:ascii="ArialMT" w:hAnsi="ArialMT"/>
          <w:i/>
          <w:iCs/>
        </w:rPr>
        <w:t xml:space="preserve"> the</w:t>
      </w:r>
      <w:r w:rsidRPr="00611C47">
        <w:rPr>
          <w:rFonts w:ascii="ArialMT" w:hAnsi="ArialMT"/>
          <w:i/>
          <w:iCs/>
        </w:rPr>
        <w:t xml:space="preserve"> Regulations</w:t>
      </w:r>
      <w:r w:rsidRPr="00611C47">
        <w:rPr>
          <w:rFonts w:ascii="ArialMT" w:hAnsi="ArialMT"/>
          <w:i/>
          <w:iCs/>
        </w:rPr>
        <w:t xml:space="preserve">. </w:t>
      </w:r>
    </w:p>
    <w:p w14:paraId="435854FB" w14:textId="77777777" w:rsidR="00653312" w:rsidRDefault="00653312" w:rsidP="00611C47">
      <w:pPr>
        <w:rPr>
          <w:rFonts w:ascii="Arial" w:hAnsi="Arial" w:cs="Arial"/>
        </w:rPr>
      </w:pPr>
    </w:p>
    <w:p w14:paraId="0EFAFDC3" w14:textId="1AD32027" w:rsidR="00653312" w:rsidRPr="00653312" w:rsidRDefault="00653312" w:rsidP="00653312">
      <w:pPr>
        <w:pStyle w:val="ListParagraph"/>
        <w:numPr>
          <w:ilvl w:val="0"/>
          <w:numId w:val="2"/>
        </w:numPr>
        <w:rPr>
          <w:rFonts w:ascii="Arial" w:hAnsi="Arial" w:cs="Arial"/>
          <w:b/>
          <w:bCs/>
        </w:rPr>
      </w:pPr>
      <w:r w:rsidRPr="00653312">
        <w:rPr>
          <w:rFonts w:ascii="Arial" w:hAnsi="Arial" w:cs="Arial"/>
          <w:b/>
          <w:bCs/>
        </w:rPr>
        <w:t>Additional Offence</w:t>
      </w:r>
    </w:p>
    <w:p w14:paraId="07E73710" w14:textId="77777777" w:rsidR="00653312" w:rsidRDefault="00653312" w:rsidP="00CA05AD">
      <w:pPr>
        <w:rPr>
          <w:rFonts w:ascii="Arial" w:hAnsi="Arial" w:cs="Arial"/>
        </w:rPr>
      </w:pPr>
    </w:p>
    <w:p w14:paraId="4632CE21" w14:textId="44CE2973" w:rsidR="00653312" w:rsidRDefault="00653312" w:rsidP="00CA05AD">
      <w:pPr>
        <w:rPr>
          <w:rFonts w:ascii="Arial" w:hAnsi="Arial" w:cs="Arial"/>
        </w:rPr>
      </w:pPr>
      <w:r>
        <w:rPr>
          <w:rFonts w:ascii="Arial" w:hAnsi="Arial" w:cs="Arial"/>
        </w:rPr>
        <w:t>An additional offence has been added in Schedule</w:t>
      </w:r>
      <w:r w:rsidR="00611C47">
        <w:rPr>
          <w:rFonts w:ascii="Arial" w:hAnsi="Arial" w:cs="Arial"/>
        </w:rPr>
        <w:t xml:space="preserve"> 6:</w:t>
      </w:r>
    </w:p>
    <w:tbl>
      <w:tblPr>
        <w:tblStyle w:val="TableGrid"/>
        <w:tblW w:w="9498" w:type="dxa"/>
        <w:tblInd w:w="-147"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Layout w:type="fixed"/>
        <w:tblLook w:val="04A0" w:firstRow="1" w:lastRow="0" w:firstColumn="1" w:lastColumn="0" w:noHBand="0" w:noVBand="1"/>
      </w:tblPr>
      <w:tblGrid>
        <w:gridCol w:w="851"/>
        <w:gridCol w:w="45"/>
        <w:gridCol w:w="1656"/>
        <w:gridCol w:w="6"/>
        <w:gridCol w:w="986"/>
        <w:gridCol w:w="73"/>
        <w:gridCol w:w="871"/>
        <w:gridCol w:w="49"/>
        <w:gridCol w:w="850"/>
        <w:gridCol w:w="9"/>
        <w:gridCol w:w="974"/>
        <w:gridCol w:w="151"/>
        <w:gridCol w:w="946"/>
        <w:gridCol w:w="46"/>
        <w:gridCol w:w="888"/>
        <w:gridCol w:w="105"/>
        <w:gridCol w:w="992"/>
      </w:tblGrid>
      <w:tr w:rsidR="00611C47" w:rsidRPr="00283D8E" w14:paraId="4945F3F4" w14:textId="77777777" w:rsidTr="00611C47">
        <w:tc>
          <w:tcPr>
            <w:tcW w:w="851" w:type="dxa"/>
            <w:shd w:val="clear" w:color="auto" w:fill="FFC000" w:themeFill="accent4"/>
            <w:vAlign w:val="center"/>
            <w:hideMark/>
          </w:tcPr>
          <w:p w14:paraId="769829E3" w14:textId="77777777" w:rsidR="00611C47" w:rsidRPr="0020686B" w:rsidRDefault="00611C47" w:rsidP="00750F6B">
            <w:pPr>
              <w:jc w:val="center"/>
              <w:rPr>
                <w:rFonts w:cs="Arial"/>
                <w:b/>
                <w:bCs/>
                <w:sz w:val="16"/>
                <w:szCs w:val="16"/>
              </w:rPr>
            </w:pPr>
            <w:r w:rsidRPr="0020686B">
              <w:rPr>
                <w:rFonts w:cs="Arial"/>
                <w:b/>
                <w:bCs/>
                <w:sz w:val="16"/>
                <w:szCs w:val="16"/>
              </w:rPr>
              <w:t>Offence Code</w:t>
            </w:r>
          </w:p>
        </w:tc>
        <w:tc>
          <w:tcPr>
            <w:tcW w:w="1701" w:type="dxa"/>
            <w:gridSpan w:val="2"/>
            <w:shd w:val="clear" w:color="auto" w:fill="FFC000" w:themeFill="accent4"/>
            <w:vAlign w:val="center"/>
            <w:hideMark/>
          </w:tcPr>
          <w:p w14:paraId="468BEB04" w14:textId="77777777" w:rsidR="00611C47" w:rsidRPr="0020686B" w:rsidRDefault="00611C47" w:rsidP="00750F6B">
            <w:pPr>
              <w:jc w:val="center"/>
              <w:rPr>
                <w:rFonts w:cs="Arial"/>
                <w:b/>
                <w:bCs/>
                <w:sz w:val="16"/>
                <w:szCs w:val="16"/>
              </w:rPr>
            </w:pPr>
            <w:r w:rsidRPr="0020686B">
              <w:rPr>
                <w:rFonts w:cs="Arial"/>
                <w:b/>
                <w:bCs/>
                <w:sz w:val="16"/>
                <w:szCs w:val="16"/>
              </w:rPr>
              <w:t>Offence Description</w:t>
            </w:r>
          </w:p>
        </w:tc>
        <w:tc>
          <w:tcPr>
            <w:tcW w:w="992" w:type="dxa"/>
            <w:gridSpan w:val="2"/>
            <w:shd w:val="clear" w:color="auto" w:fill="FFC000" w:themeFill="accent4"/>
            <w:vAlign w:val="center"/>
            <w:hideMark/>
          </w:tcPr>
          <w:p w14:paraId="00C3D48B" w14:textId="77777777" w:rsidR="00611C47" w:rsidRPr="0020686B" w:rsidRDefault="00611C47" w:rsidP="00750F6B">
            <w:pPr>
              <w:jc w:val="center"/>
              <w:rPr>
                <w:rFonts w:cs="Arial"/>
                <w:b/>
                <w:bCs/>
                <w:sz w:val="16"/>
                <w:szCs w:val="16"/>
              </w:rPr>
            </w:pPr>
            <w:r w:rsidRPr="0020686B">
              <w:rPr>
                <w:rFonts w:cs="Arial"/>
                <w:b/>
                <w:bCs/>
                <w:sz w:val="16"/>
                <w:szCs w:val="16"/>
              </w:rPr>
              <w:t>Incidence</w:t>
            </w:r>
          </w:p>
        </w:tc>
        <w:tc>
          <w:tcPr>
            <w:tcW w:w="1843" w:type="dxa"/>
            <w:gridSpan w:val="4"/>
            <w:shd w:val="clear" w:color="auto" w:fill="FFC000" w:themeFill="accent4"/>
            <w:vAlign w:val="center"/>
            <w:hideMark/>
          </w:tcPr>
          <w:p w14:paraId="73BD9509" w14:textId="77777777" w:rsidR="00611C47" w:rsidRPr="0020686B" w:rsidRDefault="00611C47" w:rsidP="00750F6B">
            <w:pPr>
              <w:jc w:val="center"/>
              <w:rPr>
                <w:rFonts w:cs="Arial"/>
                <w:b/>
                <w:bCs/>
                <w:sz w:val="16"/>
                <w:szCs w:val="16"/>
              </w:rPr>
            </w:pPr>
            <w:r w:rsidRPr="0020686B">
              <w:rPr>
                <w:rFonts w:cs="Arial"/>
                <w:b/>
                <w:bCs/>
                <w:sz w:val="16"/>
                <w:szCs w:val="16"/>
              </w:rPr>
              <w:t>Participant Sanction</w:t>
            </w:r>
          </w:p>
        </w:tc>
        <w:tc>
          <w:tcPr>
            <w:tcW w:w="2126" w:type="dxa"/>
            <w:gridSpan w:val="5"/>
            <w:shd w:val="clear" w:color="auto" w:fill="FFC000" w:themeFill="accent4"/>
            <w:vAlign w:val="center"/>
            <w:hideMark/>
          </w:tcPr>
          <w:p w14:paraId="4B0B717B" w14:textId="77777777" w:rsidR="00611C47" w:rsidRPr="0020686B" w:rsidRDefault="00611C47" w:rsidP="00750F6B">
            <w:pPr>
              <w:jc w:val="center"/>
              <w:rPr>
                <w:rFonts w:cs="Arial"/>
                <w:b/>
                <w:bCs/>
                <w:sz w:val="16"/>
                <w:szCs w:val="16"/>
              </w:rPr>
            </w:pPr>
            <w:r w:rsidRPr="0020686B">
              <w:rPr>
                <w:rFonts w:cs="Arial"/>
                <w:b/>
                <w:bCs/>
                <w:sz w:val="16"/>
                <w:szCs w:val="16"/>
              </w:rPr>
              <w:t>Club Sanction – NPL/CPL</w:t>
            </w:r>
          </w:p>
        </w:tc>
        <w:tc>
          <w:tcPr>
            <w:tcW w:w="1985" w:type="dxa"/>
            <w:gridSpan w:val="3"/>
            <w:shd w:val="clear" w:color="auto" w:fill="FFC000" w:themeFill="accent4"/>
            <w:vAlign w:val="center"/>
          </w:tcPr>
          <w:p w14:paraId="110D60C4" w14:textId="77777777" w:rsidR="00611C47" w:rsidRPr="00283D8E" w:rsidRDefault="00611C47" w:rsidP="00750F6B">
            <w:pPr>
              <w:jc w:val="center"/>
              <w:rPr>
                <w:rFonts w:cs="Arial"/>
                <w:b/>
                <w:bCs/>
                <w:sz w:val="16"/>
                <w:szCs w:val="16"/>
              </w:rPr>
            </w:pPr>
            <w:r w:rsidRPr="00283D8E">
              <w:rPr>
                <w:rFonts w:cs="Arial"/>
                <w:b/>
                <w:bCs/>
                <w:sz w:val="16"/>
                <w:szCs w:val="16"/>
              </w:rPr>
              <w:t xml:space="preserve">Club Sanction – </w:t>
            </w:r>
            <w:r>
              <w:rPr>
                <w:rFonts w:cs="Arial"/>
                <w:b/>
                <w:bCs/>
                <w:sz w:val="16"/>
                <w:szCs w:val="16"/>
              </w:rPr>
              <w:t>other Competitions</w:t>
            </w:r>
          </w:p>
        </w:tc>
      </w:tr>
      <w:tr w:rsidR="00611C47" w:rsidRPr="00283D8E" w14:paraId="0F16E6F1" w14:textId="77777777" w:rsidTr="00611C47">
        <w:tc>
          <w:tcPr>
            <w:tcW w:w="3544" w:type="dxa"/>
            <w:gridSpan w:val="5"/>
            <w:shd w:val="clear" w:color="auto" w:fill="FFF2CC" w:themeFill="accent4" w:themeFillTint="33"/>
            <w:vAlign w:val="center"/>
          </w:tcPr>
          <w:p w14:paraId="1BACACB0" w14:textId="77777777" w:rsidR="00611C47" w:rsidRPr="0020686B" w:rsidRDefault="00611C47" w:rsidP="00750F6B">
            <w:pPr>
              <w:jc w:val="center"/>
              <w:rPr>
                <w:rFonts w:cs="Arial"/>
                <w:b/>
                <w:bCs/>
                <w:sz w:val="16"/>
                <w:szCs w:val="16"/>
              </w:rPr>
            </w:pPr>
          </w:p>
        </w:tc>
        <w:tc>
          <w:tcPr>
            <w:tcW w:w="993" w:type="dxa"/>
            <w:gridSpan w:val="3"/>
            <w:shd w:val="clear" w:color="auto" w:fill="FFF2CC" w:themeFill="accent4" w:themeFillTint="33"/>
            <w:vAlign w:val="center"/>
            <w:hideMark/>
          </w:tcPr>
          <w:p w14:paraId="4A6995A2" w14:textId="77777777" w:rsidR="00611C47" w:rsidRPr="0020686B" w:rsidRDefault="00611C47" w:rsidP="00750F6B">
            <w:pPr>
              <w:jc w:val="center"/>
              <w:rPr>
                <w:rFonts w:cs="Arial"/>
                <w:b/>
                <w:bCs/>
                <w:sz w:val="16"/>
                <w:szCs w:val="16"/>
              </w:rPr>
            </w:pPr>
            <w:r w:rsidRPr="0020686B">
              <w:rPr>
                <w:rFonts w:cs="Arial"/>
                <w:b/>
                <w:bCs/>
                <w:sz w:val="16"/>
                <w:szCs w:val="16"/>
              </w:rPr>
              <w:t>Min</w:t>
            </w:r>
          </w:p>
        </w:tc>
        <w:tc>
          <w:tcPr>
            <w:tcW w:w="850" w:type="dxa"/>
            <w:shd w:val="clear" w:color="auto" w:fill="FFF2CC" w:themeFill="accent4" w:themeFillTint="33"/>
            <w:vAlign w:val="center"/>
            <w:hideMark/>
          </w:tcPr>
          <w:p w14:paraId="4F9E3C72" w14:textId="77777777" w:rsidR="00611C47" w:rsidRPr="0020686B" w:rsidRDefault="00611C47" w:rsidP="00750F6B">
            <w:pPr>
              <w:jc w:val="center"/>
              <w:rPr>
                <w:rFonts w:cs="Arial"/>
                <w:b/>
                <w:bCs/>
                <w:sz w:val="16"/>
                <w:szCs w:val="16"/>
              </w:rPr>
            </w:pPr>
            <w:r w:rsidRPr="0020686B">
              <w:rPr>
                <w:rFonts w:cs="Arial"/>
                <w:b/>
                <w:bCs/>
                <w:sz w:val="16"/>
                <w:szCs w:val="16"/>
              </w:rPr>
              <w:t>Max</w:t>
            </w:r>
          </w:p>
        </w:tc>
        <w:tc>
          <w:tcPr>
            <w:tcW w:w="1134" w:type="dxa"/>
            <w:gridSpan w:val="3"/>
            <w:shd w:val="clear" w:color="auto" w:fill="FFF2CC" w:themeFill="accent4" w:themeFillTint="33"/>
            <w:vAlign w:val="center"/>
            <w:hideMark/>
          </w:tcPr>
          <w:p w14:paraId="0481BE08" w14:textId="77777777" w:rsidR="00611C47" w:rsidRPr="0020686B" w:rsidRDefault="00611C47" w:rsidP="00750F6B">
            <w:pPr>
              <w:jc w:val="center"/>
              <w:rPr>
                <w:rFonts w:cs="Arial"/>
                <w:b/>
                <w:bCs/>
                <w:sz w:val="16"/>
                <w:szCs w:val="16"/>
              </w:rPr>
            </w:pPr>
            <w:r w:rsidRPr="0020686B">
              <w:rPr>
                <w:rFonts w:cs="Arial"/>
                <w:b/>
                <w:bCs/>
                <w:sz w:val="16"/>
                <w:szCs w:val="16"/>
              </w:rPr>
              <w:t>Min</w:t>
            </w:r>
          </w:p>
          <w:p w14:paraId="0063D981" w14:textId="77777777" w:rsidR="00611C47" w:rsidRPr="0020686B" w:rsidRDefault="00611C47" w:rsidP="00750F6B">
            <w:pPr>
              <w:jc w:val="center"/>
              <w:rPr>
                <w:rFonts w:cs="Arial"/>
                <w:b/>
                <w:bCs/>
                <w:sz w:val="16"/>
                <w:szCs w:val="16"/>
              </w:rPr>
            </w:pPr>
            <w:r w:rsidRPr="0020686B">
              <w:rPr>
                <w:rFonts w:cs="Arial"/>
                <w:b/>
                <w:bCs/>
                <w:sz w:val="16"/>
                <w:szCs w:val="16"/>
              </w:rPr>
              <w:t>Fine</w:t>
            </w:r>
          </w:p>
        </w:tc>
        <w:tc>
          <w:tcPr>
            <w:tcW w:w="992" w:type="dxa"/>
            <w:gridSpan w:val="2"/>
            <w:shd w:val="clear" w:color="auto" w:fill="FFF2CC" w:themeFill="accent4" w:themeFillTint="33"/>
            <w:vAlign w:val="center"/>
            <w:hideMark/>
          </w:tcPr>
          <w:p w14:paraId="119BDDDE" w14:textId="77777777" w:rsidR="00611C47" w:rsidRPr="0020686B" w:rsidRDefault="00611C47" w:rsidP="00750F6B">
            <w:pPr>
              <w:jc w:val="center"/>
              <w:rPr>
                <w:rFonts w:cs="Arial"/>
                <w:b/>
                <w:bCs/>
                <w:sz w:val="16"/>
                <w:szCs w:val="16"/>
              </w:rPr>
            </w:pPr>
            <w:r w:rsidRPr="0020686B">
              <w:rPr>
                <w:rFonts w:cs="Arial"/>
                <w:b/>
                <w:bCs/>
                <w:sz w:val="16"/>
                <w:szCs w:val="16"/>
              </w:rPr>
              <w:t>Other</w:t>
            </w:r>
          </w:p>
        </w:tc>
        <w:tc>
          <w:tcPr>
            <w:tcW w:w="993" w:type="dxa"/>
            <w:gridSpan w:val="2"/>
            <w:shd w:val="clear" w:color="auto" w:fill="FFF2CC" w:themeFill="accent4" w:themeFillTint="33"/>
            <w:vAlign w:val="center"/>
          </w:tcPr>
          <w:p w14:paraId="239B4360" w14:textId="77777777" w:rsidR="00611C47" w:rsidRPr="00283D8E" w:rsidRDefault="00611C47" w:rsidP="00750F6B">
            <w:pPr>
              <w:jc w:val="center"/>
              <w:rPr>
                <w:rFonts w:cs="Arial"/>
                <w:b/>
                <w:bCs/>
                <w:sz w:val="16"/>
                <w:szCs w:val="16"/>
              </w:rPr>
            </w:pPr>
            <w:r w:rsidRPr="00283D8E">
              <w:rPr>
                <w:rFonts w:cs="Arial"/>
                <w:b/>
                <w:bCs/>
                <w:sz w:val="16"/>
                <w:szCs w:val="16"/>
              </w:rPr>
              <w:t>Min Fine</w:t>
            </w:r>
          </w:p>
        </w:tc>
        <w:tc>
          <w:tcPr>
            <w:tcW w:w="992" w:type="dxa"/>
            <w:shd w:val="clear" w:color="auto" w:fill="FFF2CC" w:themeFill="accent4" w:themeFillTint="33"/>
            <w:vAlign w:val="center"/>
          </w:tcPr>
          <w:p w14:paraId="167484CA" w14:textId="77777777" w:rsidR="00611C47" w:rsidRPr="00283D8E" w:rsidRDefault="00611C47" w:rsidP="00750F6B">
            <w:pPr>
              <w:jc w:val="center"/>
              <w:rPr>
                <w:rFonts w:cs="Arial"/>
                <w:b/>
                <w:bCs/>
                <w:sz w:val="16"/>
                <w:szCs w:val="16"/>
              </w:rPr>
            </w:pPr>
            <w:r w:rsidRPr="00283D8E">
              <w:rPr>
                <w:rFonts w:cs="Arial"/>
                <w:b/>
                <w:bCs/>
                <w:sz w:val="16"/>
                <w:szCs w:val="16"/>
              </w:rPr>
              <w:t>Other</w:t>
            </w:r>
          </w:p>
        </w:tc>
      </w:tr>
      <w:tr w:rsidR="00611C47" w:rsidRPr="000B4BEF" w14:paraId="11DC0C4C" w14:textId="77777777" w:rsidTr="00750F6B">
        <w:tc>
          <w:tcPr>
            <w:tcW w:w="896" w:type="dxa"/>
            <w:gridSpan w:val="2"/>
            <w:vMerge w:val="restart"/>
            <w:vAlign w:val="center"/>
            <w:hideMark/>
          </w:tcPr>
          <w:p w14:paraId="2A05C126" w14:textId="0B53CB9D" w:rsidR="00611C47" w:rsidRPr="0020686B" w:rsidRDefault="00611C47" w:rsidP="00750F6B">
            <w:pPr>
              <w:jc w:val="center"/>
              <w:rPr>
                <w:rFonts w:cs="Arial"/>
                <w:sz w:val="16"/>
                <w:szCs w:val="16"/>
              </w:rPr>
            </w:pPr>
            <w:r>
              <w:rPr>
                <w:rFonts w:cs="Arial"/>
                <w:sz w:val="16"/>
                <w:szCs w:val="16"/>
              </w:rPr>
              <w:t>P</w:t>
            </w:r>
            <w:r w:rsidRPr="0020686B">
              <w:rPr>
                <w:rFonts w:cs="Arial"/>
                <w:sz w:val="16"/>
                <w:szCs w:val="16"/>
              </w:rPr>
              <w:t>5-1</w:t>
            </w:r>
            <w:r>
              <w:rPr>
                <w:rFonts w:cs="Arial"/>
                <w:sz w:val="16"/>
                <w:szCs w:val="16"/>
              </w:rPr>
              <w:t>8</w:t>
            </w:r>
          </w:p>
        </w:tc>
        <w:tc>
          <w:tcPr>
            <w:tcW w:w="1662" w:type="dxa"/>
            <w:gridSpan w:val="2"/>
            <w:vMerge w:val="restart"/>
            <w:vAlign w:val="center"/>
            <w:hideMark/>
          </w:tcPr>
          <w:p w14:paraId="39CF8EB8" w14:textId="3C80FF75" w:rsidR="00611C47" w:rsidRPr="00611C47" w:rsidRDefault="00611C47" w:rsidP="00750F6B">
            <w:pPr>
              <w:jc w:val="center"/>
              <w:rPr>
                <w:rFonts w:cs="Arial"/>
                <w:sz w:val="16"/>
                <w:szCs w:val="16"/>
              </w:rPr>
            </w:pPr>
            <w:r w:rsidRPr="00611C47">
              <w:rPr>
                <w:rFonts w:ascii="Arial" w:hAnsi="Arial" w:cs="Arial"/>
                <w:sz w:val="16"/>
                <w:szCs w:val="16"/>
              </w:rPr>
              <w:t>Use or communication (in any form, including chanting, signals or in social media) of racist or extremist symbols, slogans, anthems, acronyms, or other medium (including any identifiable with past extremist or nationalistic movements or historical periods).</w:t>
            </w:r>
          </w:p>
        </w:tc>
        <w:tc>
          <w:tcPr>
            <w:tcW w:w="1059" w:type="dxa"/>
            <w:gridSpan w:val="2"/>
            <w:shd w:val="clear" w:color="auto" w:fill="FFFFFF" w:themeFill="background1"/>
            <w:vAlign w:val="center"/>
            <w:hideMark/>
          </w:tcPr>
          <w:p w14:paraId="6AA3005C" w14:textId="77777777" w:rsidR="00611C47" w:rsidRPr="0020686B" w:rsidRDefault="00611C47" w:rsidP="00750F6B">
            <w:pPr>
              <w:jc w:val="center"/>
              <w:rPr>
                <w:rFonts w:cs="Arial"/>
                <w:sz w:val="16"/>
                <w:szCs w:val="16"/>
              </w:rPr>
            </w:pPr>
            <w:r w:rsidRPr="0020686B">
              <w:rPr>
                <w:rFonts w:cs="Arial"/>
                <w:sz w:val="16"/>
                <w:szCs w:val="16"/>
              </w:rPr>
              <w:t>First</w:t>
            </w:r>
          </w:p>
        </w:tc>
        <w:tc>
          <w:tcPr>
            <w:tcW w:w="871" w:type="dxa"/>
            <w:shd w:val="clear" w:color="auto" w:fill="FFFFFF" w:themeFill="background1"/>
            <w:vAlign w:val="center"/>
            <w:hideMark/>
          </w:tcPr>
          <w:p w14:paraId="0A51A942" w14:textId="77777777" w:rsidR="00611C47" w:rsidRPr="0020686B" w:rsidRDefault="00611C47" w:rsidP="00750F6B">
            <w:pPr>
              <w:jc w:val="center"/>
              <w:rPr>
                <w:rFonts w:cs="Arial"/>
                <w:sz w:val="16"/>
                <w:szCs w:val="16"/>
              </w:rPr>
            </w:pPr>
            <w:r w:rsidRPr="0020686B">
              <w:rPr>
                <w:rFonts w:cs="Arial"/>
                <w:sz w:val="16"/>
                <w:szCs w:val="16"/>
              </w:rPr>
              <w:t>12 months</w:t>
            </w:r>
          </w:p>
        </w:tc>
        <w:tc>
          <w:tcPr>
            <w:tcW w:w="908" w:type="dxa"/>
            <w:gridSpan w:val="3"/>
            <w:shd w:val="clear" w:color="auto" w:fill="FFFFFF" w:themeFill="background1"/>
            <w:vAlign w:val="center"/>
            <w:hideMark/>
          </w:tcPr>
          <w:p w14:paraId="79D708AA" w14:textId="5141F517" w:rsidR="00611C47" w:rsidRPr="0020686B" w:rsidRDefault="00611C47" w:rsidP="00750F6B">
            <w:pPr>
              <w:jc w:val="center"/>
              <w:rPr>
                <w:rFonts w:cs="Arial"/>
                <w:sz w:val="16"/>
                <w:szCs w:val="16"/>
              </w:rPr>
            </w:pPr>
            <w:r>
              <w:rPr>
                <w:rFonts w:cs="Arial"/>
                <w:sz w:val="16"/>
                <w:szCs w:val="16"/>
              </w:rPr>
              <w:t>Life</w:t>
            </w:r>
          </w:p>
        </w:tc>
        <w:tc>
          <w:tcPr>
            <w:tcW w:w="974" w:type="dxa"/>
            <w:shd w:val="clear" w:color="auto" w:fill="FFFFFF" w:themeFill="background1"/>
            <w:vAlign w:val="center"/>
            <w:hideMark/>
          </w:tcPr>
          <w:p w14:paraId="49744ABB" w14:textId="77777777" w:rsidR="00611C47" w:rsidRPr="0020686B" w:rsidRDefault="00611C47" w:rsidP="00750F6B">
            <w:pPr>
              <w:jc w:val="center"/>
              <w:rPr>
                <w:rFonts w:cs="Arial"/>
                <w:sz w:val="16"/>
                <w:szCs w:val="16"/>
              </w:rPr>
            </w:pPr>
            <w:r w:rsidRPr="0020686B">
              <w:rPr>
                <w:rFonts w:cs="Arial"/>
                <w:sz w:val="16"/>
                <w:szCs w:val="16"/>
              </w:rPr>
              <w:t>$</w:t>
            </w:r>
            <w:r>
              <w:rPr>
                <w:rFonts w:cs="Arial"/>
                <w:sz w:val="16"/>
                <w:szCs w:val="16"/>
              </w:rPr>
              <w:t>1000</w:t>
            </w:r>
          </w:p>
        </w:tc>
        <w:tc>
          <w:tcPr>
            <w:tcW w:w="1097" w:type="dxa"/>
            <w:gridSpan w:val="2"/>
            <w:shd w:val="clear" w:color="auto" w:fill="FFFFFF" w:themeFill="background1"/>
            <w:vAlign w:val="center"/>
            <w:hideMark/>
          </w:tcPr>
          <w:p w14:paraId="0D63D435" w14:textId="77777777" w:rsidR="00611C47" w:rsidRPr="0020686B" w:rsidRDefault="00611C47" w:rsidP="00750F6B">
            <w:pPr>
              <w:jc w:val="center"/>
              <w:rPr>
                <w:rFonts w:cs="Arial"/>
                <w:sz w:val="16"/>
                <w:szCs w:val="16"/>
              </w:rPr>
            </w:pPr>
            <w:r w:rsidRPr="0020686B">
              <w:rPr>
                <w:rFonts w:cs="Arial"/>
                <w:sz w:val="16"/>
                <w:szCs w:val="16"/>
              </w:rPr>
              <w:t>Tribunal Discretion</w:t>
            </w:r>
          </w:p>
          <w:p w14:paraId="49D0BAC9" w14:textId="77777777" w:rsidR="00611C47" w:rsidRPr="0020686B" w:rsidRDefault="00611C47" w:rsidP="00750F6B">
            <w:pPr>
              <w:jc w:val="center"/>
              <w:rPr>
                <w:rFonts w:cs="Arial"/>
                <w:sz w:val="16"/>
                <w:szCs w:val="16"/>
              </w:rPr>
            </w:pPr>
            <w:r w:rsidRPr="0020686B">
              <w:rPr>
                <w:rFonts w:cs="Arial"/>
                <w:sz w:val="16"/>
                <w:szCs w:val="16"/>
              </w:rPr>
              <w:t>Schedule 1</w:t>
            </w:r>
          </w:p>
        </w:tc>
        <w:tc>
          <w:tcPr>
            <w:tcW w:w="934" w:type="dxa"/>
            <w:gridSpan w:val="2"/>
            <w:shd w:val="clear" w:color="auto" w:fill="FFFFFF" w:themeFill="background1"/>
            <w:vAlign w:val="center"/>
          </w:tcPr>
          <w:p w14:paraId="679AA070" w14:textId="77777777" w:rsidR="00611C47" w:rsidRPr="000B4BEF" w:rsidRDefault="00611C47" w:rsidP="00750F6B">
            <w:pPr>
              <w:jc w:val="center"/>
              <w:rPr>
                <w:rFonts w:cs="Arial"/>
                <w:sz w:val="16"/>
                <w:szCs w:val="16"/>
              </w:rPr>
            </w:pPr>
            <w:r w:rsidRPr="000B4BEF">
              <w:rPr>
                <w:rFonts w:cs="Arial"/>
                <w:sz w:val="16"/>
                <w:szCs w:val="16"/>
              </w:rPr>
              <w:t>$500</w:t>
            </w:r>
          </w:p>
        </w:tc>
        <w:tc>
          <w:tcPr>
            <w:tcW w:w="1097" w:type="dxa"/>
            <w:gridSpan w:val="2"/>
            <w:shd w:val="clear" w:color="auto" w:fill="FFFFFF" w:themeFill="background1"/>
            <w:vAlign w:val="center"/>
          </w:tcPr>
          <w:p w14:paraId="3209C659" w14:textId="77777777" w:rsidR="00611C47" w:rsidRPr="000B4BEF" w:rsidRDefault="00611C47" w:rsidP="00750F6B">
            <w:pPr>
              <w:jc w:val="center"/>
              <w:rPr>
                <w:rFonts w:cs="Arial"/>
                <w:sz w:val="16"/>
                <w:szCs w:val="16"/>
              </w:rPr>
            </w:pPr>
            <w:r w:rsidRPr="000B4BEF">
              <w:rPr>
                <w:rFonts w:cs="Arial"/>
                <w:sz w:val="16"/>
                <w:szCs w:val="16"/>
              </w:rPr>
              <w:t>Tribunal Discretion</w:t>
            </w:r>
          </w:p>
          <w:p w14:paraId="3C0B201F" w14:textId="77777777" w:rsidR="00611C47" w:rsidRPr="000B4BEF" w:rsidRDefault="00611C47" w:rsidP="00750F6B">
            <w:pPr>
              <w:jc w:val="center"/>
              <w:rPr>
                <w:rFonts w:cs="Arial"/>
                <w:sz w:val="16"/>
                <w:szCs w:val="16"/>
              </w:rPr>
            </w:pPr>
            <w:r w:rsidRPr="000B4BEF">
              <w:rPr>
                <w:rFonts w:cs="Arial"/>
                <w:sz w:val="16"/>
                <w:szCs w:val="16"/>
              </w:rPr>
              <w:t>Schedule 1</w:t>
            </w:r>
          </w:p>
        </w:tc>
      </w:tr>
      <w:tr w:rsidR="00611C47" w:rsidRPr="000B4BEF" w14:paraId="3A9E361D" w14:textId="77777777" w:rsidTr="00750F6B">
        <w:tc>
          <w:tcPr>
            <w:tcW w:w="896" w:type="dxa"/>
            <w:gridSpan w:val="2"/>
            <w:vMerge/>
            <w:tcBorders>
              <w:bottom w:val="single" w:sz="4" w:space="0" w:color="FFD966" w:themeColor="accent4" w:themeTint="99"/>
            </w:tcBorders>
            <w:vAlign w:val="center"/>
            <w:hideMark/>
          </w:tcPr>
          <w:p w14:paraId="41D07A94" w14:textId="77777777" w:rsidR="00611C47" w:rsidRPr="0020686B" w:rsidRDefault="00611C47" w:rsidP="00750F6B">
            <w:pPr>
              <w:jc w:val="center"/>
              <w:rPr>
                <w:rFonts w:cs="Arial"/>
                <w:sz w:val="16"/>
                <w:szCs w:val="16"/>
              </w:rPr>
            </w:pPr>
          </w:p>
        </w:tc>
        <w:tc>
          <w:tcPr>
            <w:tcW w:w="1662" w:type="dxa"/>
            <w:gridSpan w:val="2"/>
            <w:vMerge/>
            <w:tcBorders>
              <w:bottom w:val="single" w:sz="4" w:space="0" w:color="FFD966" w:themeColor="accent4" w:themeTint="99"/>
            </w:tcBorders>
            <w:vAlign w:val="center"/>
            <w:hideMark/>
          </w:tcPr>
          <w:p w14:paraId="75FB57BA" w14:textId="77777777" w:rsidR="00611C47" w:rsidRPr="0020686B" w:rsidRDefault="00611C47" w:rsidP="00750F6B">
            <w:pPr>
              <w:jc w:val="center"/>
              <w:rPr>
                <w:rFonts w:cs="Arial"/>
                <w:sz w:val="16"/>
                <w:szCs w:val="16"/>
              </w:rPr>
            </w:pPr>
          </w:p>
        </w:tc>
        <w:tc>
          <w:tcPr>
            <w:tcW w:w="1059" w:type="dxa"/>
            <w:gridSpan w:val="2"/>
            <w:tcBorders>
              <w:bottom w:val="single" w:sz="4" w:space="0" w:color="FFD966" w:themeColor="accent4" w:themeTint="99"/>
            </w:tcBorders>
            <w:vAlign w:val="center"/>
            <w:hideMark/>
          </w:tcPr>
          <w:p w14:paraId="46618437" w14:textId="77777777" w:rsidR="00611C47" w:rsidRPr="0020686B" w:rsidRDefault="00611C47" w:rsidP="00750F6B">
            <w:pPr>
              <w:jc w:val="center"/>
              <w:rPr>
                <w:rFonts w:cs="Arial"/>
                <w:sz w:val="16"/>
                <w:szCs w:val="16"/>
              </w:rPr>
            </w:pPr>
            <w:r w:rsidRPr="0020686B">
              <w:rPr>
                <w:rFonts w:cs="Arial"/>
                <w:sz w:val="16"/>
                <w:szCs w:val="16"/>
              </w:rPr>
              <w:t>Second+</w:t>
            </w:r>
          </w:p>
        </w:tc>
        <w:tc>
          <w:tcPr>
            <w:tcW w:w="871" w:type="dxa"/>
            <w:tcBorders>
              <w:bottom w:val="single" w:sz="4" w:space="0" w:color="FFD966" w:themeColor="accent4" w:themeTint="99"/>
            </w:tcBorders>
            <w:vAlign w:val="center"/>
            <w:hideMark/>
          </w:tcPr>
          <w:p w14:paraId="2619FF62" w14:textId="77777777" w:rsidR="00611C47" w:rsidRPr="0020686B" w:rsidRDefault="00611C47" w:rsidP="00750F6B">
            <w:pPr>
              <w:jc w:val="center"/>
              <w:rPr>
                <w:rFonts w:cs="Arial"/>
                <w:sz w:val="16"/>
                <w:szCs w:val="16"/>
              </w:rPr>
            </w:pPr>
            <w:r w:rsidRPr="0020686B">
              <w:rPr>
                <w:rFonts w:cs="Arial"/>
                <w:sz w:val="16"/>
                <w:szCs w:val="16"/>
              </w:rPr>
              <w:t>24 months</w:t>
            </w:r>
          </w:p>
        </w:tc>
        <w:tc>
          <w:tcPr>
            <w:tcW w:w="908" w:type="dxa"/>
            <w:gridSpan w:val="3"/>
            <w:tcBorders>
              <w:bottom w:val="single" w:sz="4" w:space="0" w:color="FFD966" w:themeColor="accent4" w:themeTint="99"/>
            </w:tcBorders>
            <w:vAlign w:val="center"/>
            <w:hideMark/>
          </w:tcPr>
          <w:p w14:paraId="4E671E6E" w14:textId="4AA67A7F" w:rsidR="00611C47" w:rsidRPr="0020686B" w:rsidRDefault="00611C47" w:rsidP="00750F6B">
            <w:pPr>
              <w:jc w:val="center"/>
              <w:rPr>
                <w:rFonts w:cs="Arial"/>
                <w:sz w:val="16"/>
                <w:szCs w:val="16"/>
              </w:rPr>
            </w:pPr>
            <w:r>
              <w:rPr>
                <w:rFonts w:cs="Arial"/>
                <w:sz w:val="16"/>
                <w:szCs w:val="16"/>
              </w:rPr>
              <w:t>Life</w:t>
            </w:r>
          </w:p>
        </w:tc>
        <w:tc>
          <w:tcPr>
            <w:tcW w:w="974" w:type="dxa"/>
            <w:tcBorders>
              <w:bottom w:val="single" w:sz="4" w:space="0" w:color="FFD966" w:themeColor="accent4" w:themeTint="99"/>
            </w:tcBorders>
            <w:vAlign w:val="center"/>
            <w:hideMark/>
          </w:tcPr>
          <w:p w14:paraId="650734E8" w14:textId="2339C611" w:rsidR="00611C47" w:rsidRPr="0020686B" w:rsidRDefault="00611C47" w:rsidP="00750F6B">
            <w:pPr>
              <w:jc w:val="center"/>
              <w:rPr>
                <w:rFonts w:cs="Arial"/>
                <w:sz w:val="16"/>
                <w:szCs w:val="16"/>
              </w:rPr>
            </w:pPr>
            <w:r w:rsidRPr="0020686B">
              <w:rPr>
                <w:rFonts w:cs="Arial"/>
                <w:sz w:val="16"/>
                <w:szCs w:val="16"/>
              </w:rPr>
              <w:t>$</w:t>
            </w:r>
            <w:r>
              <w:rPr>
                <w:rFonts w:cs="Arial"/>
                <w:sz w:val="16"/>
                <w:szCs w:val="16"/>
              </w:rPr>
              <w:t>5000</w:t>
            </w:r>
          </w:p>
        </w:tc>
        <w:tc>
          <w:tcPr>
            <w:tcW w:w="1097" w:type="dxa"/>
            <w:gridSpan w:val="2"/>
            <w:tcBorders>
              <w:bottom w:val="single" w:sz="4" w:space="0" w:color="FFD966" w:themeColor="accent4" w:themeTint="99"/>
            </w:tcBorders>
            <w:vAlign w:val="center"/>
            <w:hideMark/>
          </w:tcPr>
          <w:p w14:paraId="6085850A" w14:textId="77777777" w:rsidR="00611C47" w:rsidRPr="0020686B" w:rsidRDefault="00611C47" w:rsidP="00750F6B">
            <w:pPr>
              <w:jc w:val="center"/>
              <w:rPr>
                <w:rFonts w:cs="Arial"/>
                <w:sz w:val="16"/>
                <w:szCs w:val="16"/>
              </w:rPr>
            </w:pPr>
            <w:r w:rsidRPr="0020686B">
              <w:rPr>
                <w:rFonts w:cs="Arial"/>
                <w:sz w:val="16"/>
                <w:szCs w:val="16"/>
              </w:rPr>
              <w:t>Loss of 3 Competition points</w:t>
            </w:r>
          </w:p>
        </w:tc>
        <w:tc>
          <w:tcPr>
            <w:tcW w:w="934" w:type="dxa"/>
            <w:gridSpan w:val="2"/>
            <w:tcBorders>
              <w:bottom w:val="single" w:sz="4" w:space="0" w:color="FFD966" w:themeColor="accent4" w:themeTint="99"/>
            </w:tcBorders>
            <w:vAlign w:val="center"/>
          </w:tcPr>
          <w:p w14:paraId="7D4DCBE3" w14:textId="70E58B68" w:rsidR="00611C47" w:rsidRPr="000B4BEF" w:rsidRDefault="00611C47" w:rsidP="00750F6B">
            <w:pPr>
              <w:jc w:val="center"/>
              <w:rPr>
                <w:rFonts w:cs="Arial"/>
                <w:sz w:val="16"/>
                <w:szCs w:val="16"/>
              </w:rPr>
            </w:pPr>
            <w:r w:rsidRPr="000B4BEF">
              <w:rPr>
                <w:rFonts w:cs="Arial"/>
                <w:sz w:val="16"/>
                <w:szCs w:val="16"/>
              </w:rPr>
              <w:t>$</w:t>
            </w:r>
            <w:r>
              <w:rPr>
                <w:rFonts w:cs="Arial"/>
                <w:sz w:val="16"/>
                <w:szCs w:val="16"/>
              </w:rPr>
              <w:t>2000</w:t>
            </w:r>
          </w:p>
        </w:tc>
        <w:tc>
          <w:tcPr>
            <w:tcW w:w="1097" w:type="dxa"/>
            <w:gridSpan w:val="2"/>
            <w:tcBorders>
              <w:bottom w:val="single" w:sz="4" w:space="0" w:color="FFD966" w:themeColor="accent4" w:themeTint="99"/>
            </w:tcBorders>
            <w:vAlign w:val="center"/>
          </w:tcPr>
          <w:p w14:paraId="2C93BBF3" w14:textId="77777777" w:rsidR="00611C47" w:rsidRPr="000B4BEF" w:rsidRDefault="00611C47" w:rsidP="00750F6B">
            <w:pPr>
              <w:jc w:val="center"/>
              <w:rPr>
                <w:rFonts w:cs="Arial"/>
                <w:sz w:val="16"/>
                <w:szCs w:val="16"/>
              </w:rPr>
            </w:pPr>
            <w:r w:rsidRPr="000B4BEF">
              <w:rPr>
                <w:rFonts w:cs="Arial"/>
                <w:sz w:val="16"/>
                <w:szCs w:val="16"/>
              </w:rPr>
              <w:t>Loss of 3 Competition points</w:t>
            </w:r>
          </w:p>
        </w:tc>
      </w:tr>
    </w:tbl>
    <w:p w14:paraId="2FD979AA" w14:textId="451D4933" w:rsidR="00653312" w:rsidRDefault="00653312" w:rsidP="00CA05AD">
      <w:pPr>
        <w:rPr>
          <w:rFonts w:ascii="Arial" w:hAnsi="Arial" w:cs="Arial"/>
        </w:rPr>
      </w:pPr>
    </w:p>
    <w:p w14:paraId="184C8C7C" w14:textId="77777777" w:rsidR="005A66E7" w:rsidRPr="00201AE3" w:rsidRDefault="005A66E7" w:rsidP="00611C47">
      <w:pPr>
        <w:jc w:val="right"/>
        <w:rPr>
          <w:rFonts w:ascii="Arial" w:hAnsi="Arial" w:cs="Arial"/>
        </w:rPr>
      </w:pPr>
      <w:r w:rsidRPr="00201AE3">
        <w:rPr>
          <w:rFonts w:ascii="Arial" w:hAnsi="Arial" w:cs="Arial"/>
        </w:rPr>
        <w:t>Chris Gardiner</w:t>
      </w:r>
    </w:p>
    <w:p w14:paraId="4BB6262C" w14:textId="77777777" w:rsidR="005A66E7" w:rsidRPr="00201AE3" w:rsidRDefault="005A66E7" w:rsidP="005A66E7">
      <w:pPr>
        <w:jc w:val="right"/>
        <w:rPr>
          <w:rFonts w:ascii="Arial" w:hAnsi="Arial" w:cs="Arial"/>
        </w:rPr>
      </w:pPr>
      <w:r w:rsidRPr="00201AE3">
        <w:rPr>
          <w:rFonts w:ascii="Arial" w:hAnsi="Arial" w:cs="Arial"/>
        </w:rPr>
        <w:t>Chief Executive Officer</w:t>
      </w:r>
    </w:p>
    <w:p w14:paraId="25E33782" w14:textId="77777777" w:rsidR="005A66E7" w:rsidRPr="00201AE3" w:rsidRDefault="005A66E7" w:rsidP="005A66E7">
      <w:pPr>
        <w:jc w:val="right"/>
        <w:rPr>
          <w:rFonts w:ascii="Arial" w:hAnsi="Arial" w:cs="Arial"/>
        </w:rPr>
      </w:pPr>
    </w:p>
    <w:p w14:paraId="07C7D53F" w14:textId="69413BAE" w:rsidR="005A66E7" w:rsidRPr="00201AE3" w:rsidRDefault="005A66E7" w:rsidP="00611C47">
      <w:pPr>
        <w:jc w:val="right"/>
        <w:rPr>
          <w:rFonts w:ascii="Arial" w:hAnsi="Arial" w:cs="Arial"/>
        </w:rPr>
      </w:pPr>
      <w:r w:rsidRPr="00201AE3">
        <w:rPr>
          <w:rFonts w:ascii="Arial" w:hAnsi="Arial" w:cs="Arial"/>
        </w:rPr>
        <w:t>18 November 2022</w:t>
      </w:r>
    </w:p>
    <w:sectPr w:rsidR="005A66E7" w:rsidRPr="00201AE3" w:rsidSect="004E34FF">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F753" w14:textId="77777777" w:rsidR="00A419F7" w:rsidRDefault="00A419F7" w:rsidP="00C70046">
      <w:r>
        <w:separator/>
      </w:r>
    </w:p>
  </w:endnote>
  <w:endnote w:type="continuationSeparator" w:id="0">
    <w:p w14:paraId="37DE69A9" w14:textId="77777777" w:rsidR="00A419F7" w:rsidRDefault="00A419F7" w:rsidP="00C7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356741"/>
      <w:docPartObj>
        <w:docPartGallery w:val="Page Numbers (Bottom of Page)"/>
        <w:docPartUnique/>
      </w:docPartObj>
    </w:sdtPr>
    <w:sdtContent>
      <w:p w14:paraId="1E6E2995" w14:textId="7C00AD14" w:rsidR="00D87652" w:rsidRDefault="00D87652" w:rsidP="00144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FF816" w14:textId="77777777" w:rsidR="00D87652" w:rsidRDefault="00D87652" w:rsidP="00D87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235535684"/>
      <w:docPartObj>
        <w:docPartGallery w:val="Page Numbers (Bottom of Page)"/>
        <w:docPartUnique/>
      </w:docPartObj>
    </w:sdtPr>
    <w:sdtContent>
      <w:p w14:paraId="7F164B49" w14:textId="0DE34D14" w:rsidR="00D87652" w:rsidRPr="00D87652" w:rsidRDefault="00D87652" w:rsidP="001445A5">
        <w:pPr>
          <w:pStyle w:val="Footer"/>
          <w:framePr w:wrap="none" w:vAnchor="text" w:hAnchor="margin" w:xAlign="right" w:y="1"/>
          <w:rPr>
            <w:rStyle w:val="PageNumber"/>
            <w:rFonts w:ascii="Arial" w:hAnsi="Arial" w:cs="Arial"/>
            <w:sz w:val="16"/>
            <w:szCs w:val="16"/>
          </w:rPr>
        </w:pPr>
        <w:r w:rsidRPr="00D87652">
          <w:rPr>
            <w:rStyle w:val="PageNumber"/>
            <w:rFonts w:ascii="Arial" w:hAnsi="Arial" w:cs="Arial"/>
            <w:sz w:val="16"/>
            <w:szCs w:val="16"/>
          </w:rPr>
          <w:fldChar w:fldCharType="begin"/>
        </w:r>
        <w:r w:rsidRPr="00D87652">
          <w:rPr>
            <w:rStyle w:val="PageNumber"/>
            <w:rFonts w:ascii="Arial" w:hAnsi="Arial" w:cs="Arial"/>
            <w:sz w:val="16"/>
            <w:szCs w:val="16"/>
          </w:rPr>
          <w:instrText xml:space="preserve"> PAGE </w:instrText>
        </w:r>
        <w:r w:rsidRPr="00D87652">
          <w:rPr>
            <w:rStyle w:val="PageNumber"/>
            <w:rFonts w:ascii="Arial" w:hAnsi="Arial" w:cs="Arial"/>
            <w:sz w:val="16"/>
            <w:szCs w:val="16"/>
          </w:rPr>
          <w:fldChar w:fldCharType="separate"/>
        </w:r>
        <w:r w:rsidRPr="00D87652">
          <w:rPr>
            <w:rStyle w:val="PageNumber"/>
            <w:rFonts w:ascii="Arial" w:hAnsi="Arial" w:cs="Arial"/>
            <w:noProof/>
            <w:sz w:val="16"/>
            <w:szCs w:val="16"/>
          </w:rPr>
          <w:t>1</w:t>
        </w:r>
        <w:r w:rsidRPr="00D87652">
          <w:rPr>
            <w:rStyle w:val="PageNumber"/>
            <w:rFonts w:ascii="Arial" w:hAnsi="Arial" w:cs="Arial"/>
            <w:sz w:val="16"/>
            <w:szCs w:val="16"/>
          </w:rPr>
          <w:fldChar w:fldCharType="end"/>
        </w:r>
        <w:r w:rsidRPr="00D87652">
          <w:rPr>
            <w:rStyle w:val="PageNumber"/>
            <w:rFonts w:ascii="Arial" w:hAnsi="Arial" w:cs="Arial"/>
            <w:sz w:val="16"/>
            <w:szCs w:val="16"/>
          </w:rPr>
          <w:t xml:space="preserve"> of</w:t>
        </w:r>
        <w:r w:rsidR="00C66FE2">
          <w:rPr>
            <w:rStyle w:val="PageNumber"/>
            <w:rFonts w:ascii="Arial" w:hAnsi="Arial" w:cs="Arial"/>
            <w:sz w:val="16"/>
            <w:szCs w:val="16"/>
          </w:rPr>
          <w:t xml:space="preserve"> 1</w:t>
        </w:r>
      </w:p>
    </w:sdtContent>
  </w:sdt>
  <w:p w14:paraId="76872D70" w14:textId="2F1ADAF6" w:rsidR="00D87652" w:rsidRPr="00D87652" w:rsidRDefault="00D87652" w:rsidP="00D87652">
    <w:pPr>
      <w:pStyle w:val="Footer"/>
      <w:ind w:right="360"/>
      <w:rPr>
        <w:rFonts w:ascii="Arial" w:hAnsi="Arial" w:cs="Arial"/>
        <w:sz w:val="16"/>
        <w:szCs w:val="16"/>
      </w:rPr>
    </w:pPr>
    <w:r>
      <w:rPr>
        <w:rFonts w:ascii="Arial" w:hAnsi="Arial" w:cs="Arial"/>
        <w:sz w:val="16"/>
        <w:szCs w:val="16"/>
      </w:rPr>
      <w:t xml:space="preserve">CF Memo – </w:t>
    </w:r>
    <w:r w:rsidR="00653312">
      <w:rPr>
        <w:rFonts w:ascii="Arial" w:hAnsi="Arial" w:cs="Arial"/>
        <w:sz w:val="16"/>
        <w:szCs w:val="16"/>
      </w:rPr>
      <w:t>Disciplinary</w:t>
    </w:r>
    <w:r>
      <w:rPr>
        <w:rFonts w:ascii="Arial" w:hAnsi="Arial" w:cs="Arial"/>
        <w:sz w:val="16"/>
        <w:szCs w:val="16"/>
      </w:rPr>
      <w:t xml:space="preserve"> Regulations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B707" w14:textId="77777777" w:rsidR="00A419F7" w:rsidRDefault="00A419F7" w:rsidP="00C70046">
      <w:r>
        <w:separator/>
      </w:r>
    </w:p>
  </w:footnote>
  <w:footnote w:type="continuationSeparator" w:id="0">
    <w:p w14:paraId="57FE79D2" w14:textId="77777777" w:rsidR="00A419F7" w:rsidRDefault="00A419F7" w:rsidP="00C7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F4F" w14:textId="35075521" w:rsidR="00C70046" w:rsidRDefault="00C70046">
    <w:pPr>
      <w:pStyle w:val="Header"/>
    </w:pPr>
    <w:r w:rsidRPr="000E3321">
      <w:rPr>
        <w:noProof/>
      </w:rPr>
      <w:drawing>
        <wp:anchor distT="0" distB="0" distL="114300" distR="114300" simplePos="0" relativeHeight="251659264" behindDoc="0" locked="0" layoutInCell="1" allowOverlap="1" wp14:anchorId="7559A542" wp14:editId="6E54D971">
          <wp:simplePos x="0" y="0"/>
          <wp:positionH relativeFrom="column">
            <wp:posOffset>4829321</wp:posOffset>
          </wp:positionH>
          <wp:positionV relativeFrom="paragraph">
            <wp:posOffset>-457835</wp:posOffset>
          </wp:positionV>
          <wp:extent cx="1778934" cy="1778934"/>
          <wp:effectExtent l="0" t="0" r="0" b="0"/>
          <wp:wrapThrough wrapText="bothSides">
            <wp:wrapPolygon edited="0">
              <wp:start x="0" y="0"/>
              <wp:lineTo x="0" y="21438"/>
              <wp:lineTo x="21438" y="21438"/>
              <wp:lineTo x="21438" y="0"/>
              <wp:lineTo x="0" y="0"/>
            </wp:wrapPolygon>
          </wp:wrapThrough>
          <wp:docPr id="1026" name="Picture 2" descr="Walking Football: Member Federations | Play Football">
            <a:extLst xmlns:a="http://schemas.openxmlformats.org/drawingml/2006/main">
              <a:ext uri="{FF2B5EF4-FFF2-40B4-BE49-F238E27FC236}">
                <a16:creationId xmlns:a16="http://schemas.microsoft.com/office/drawing/2014/main" id="{5365B9AE-A97C-B24F-8E74-34D1DE5922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alking Football: Member Federations | Play Football">
                    <a:extLst>
                      <a:ext uri="{FF2B5EF4-FFF2-40B4-BE49-F238E27FC236}">
                        <a16:creationId xmlns:a16="http://schemas.microsoft.com/office/drawing/2014/main" id="{5365B9AE-A97C-B24F-8E74-34D1DE59226E}"/>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8934" cy="17789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FF3"/>
    <w:multiLevelType w:val="hybridMultilevel"/>
    <w:tmpl w:val="F2C075E8"/>
    <w:lvl w:ilvl="0" w:tplc="5E3200E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44CBB"/>
    <w:multiLevelType w:val="multilevel"/>
    <w:tmpl w:val="E982DF36"/>
    <w:lvl w:ilvl="0">
      <w:start w:val="8"/>
      <w:numFmt w:val="decimal"/>
      <w:lvlText w:val="%1"/>
      <w:lvlJc w:val="left"/>
      <w:pPr>
        <w:ind w:left="567" w:hanging="567"/>
      </w:pPr>
      <w:rPr>
        <w:rFonts w:ascii="Arial" w:hAnsi="Arial" w:hint="default"/>
        <w:b/>
        <w:sz w:val="24"/>
      </w:rPr>
    </w:lvl>
    <w:lvl w:ilvl="1">
      <w:start w:val="1"/>
      <w:numFmt w:val="decimal"/>
      <w:lvlText w:val="%1.%2"/>
      <w:lvlJc w:val="left"/>
      <w:pPr>
        <w:ind w:left="1134" w:hanging="567"/>
      </w:pPr>
      <w:rPr>
        <w:rFonts w:ascii="Arial" w:hAnsi="Arial" w:hint="default"/>
        <w:sz w:val="22"/>
      </w:rPr>
    </w:lvl>
    <w:lvl w:ilvl="2">
      <w:start w:val="1"/>
      <w:numFmt w:val="lowerLetter"/>
      <w:lvlText w:val="%3)"/>
      <w:lvlJc w:val="right"/>
      <w:pPr>
        <w:ind w:left="1531" w:hanging="170"/>
      </w:pPr>
      <w:rPr>
        <w:rFonts w:ascii="Arial" w:hAnsi="Arial" w:hint="default"/>
        <w:sz w:val="22"/>
      </w:rPr>
    </w:lvl>
    <w:lvl w:ilvl="3">
      <w:start w:val="1"/>
      <w:numFmt w:val="lowerRoman"/>
      <w:lvlText w:val="%4)"/>
      <w:lvlJc w:val="left"/>
      <w:pPr>
        <w:ind w:left="1928" w:hanging="397"/>
      </w:pPr>
      <w:rPr>
        <w:rFonts w:ascii="Arial" w:hAnsi="Arial" w:hint="default"/>
        <w:sz w:val="22"/>
      </w:rPr>
    </w:lvl>
    <w:lvl w:ilvl="4">
      <w:start w:val="1"/>
      <w:numFmt w:val="upperLetter"/>
      <w:lvlText w:val="%5."/>
      <w:lvlJc w:val="left"/>
      <w:pPr>
        <w:ind w:left="2268" w:hanging="340"/>
      </w:pPr>
      <w:rPr>
        <w:rFonts w:ascii="Arial" w:hAnsi="Arial" w:hint="default"/>
        <w:sz w:val="22"/>
      </w:rPr>
    </w:lvl>
    <w:lvl w:ilvl="5">
      <w:start w:val="1"/>
      <w:numFmt w:val="none"/>
      <w:lvlText w:val=""/>
      <w:lvlJc w:val="right"/>
      <w:pPr>
        <w:ind w:left="10506" w:hanging="180"/>
      </w:pPr>
      <w:rPr>
        <w:rFonts w:hint="default"/>
      </w:rPr>
    </w:lvl>
    <w:lvl w:ilvl="6">
      <w:start w:val="1"/>
      <w:numFmt w:val="none"/>
      <w:lvlText w:val="%7"/>
      <w:lvlJc w:val="left"/>
      <w:pPr>
        <w:ind w:left="11226" w:hanging="360"/>
      </w:pPr>
      <w:rPr>
        <w:rFonts w:hint="default"/>
      </w:rPr>
    </w:lvl>
    <w:lvl w:ilvl="7">
      <w:start w:val="1"/>
      <w:numFmt w:val="none"/>
      <w:lvlText w:val="%8"/>
      <w:lvlJc w:val="left"/>
      <w:pPr>
        <w:ind w:left="11946" w:hanging="360"/>
      </w:pPr>
      <w:rPr>
        <w:rFonts w:hint="default"/>
      </w:rPr>
    </w:lvl>
    <w:lvl w:ilvl="8">
      <w:start w:val="1"/>
      <w:numFmt w:val="none"/>
      <w:lvlText w:val="%9"/>
      <w:lvlJc w:val="right"/>
      <w:pPr>
        <w:ind w:left="12666" w:hanging="180"/>
      </w:pPr>
      <w:rPr>
        <w:rFonts w:hint="default"/>
      </w:rPr>
    </w:lvl>
  </w:abstractNum>
  <w:abstractNum w:abstractNumId="2" w15:restartNumberingAfterBreak="0">
    <w:nsid w:val="12BE3DBC"/>
    <w:multiLevelType w:val="multilevel"/>
    <w:tmpl w:val="4A64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40046"/>
    <w:multiLevelType w:val="hybridMultilevel"/>
    <w:tmpl w:val="2E20115E"/>
    <w:lvl w:ilvl="0" w:tplc="C9CADC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7349395">
    <w:abstractNumId w:val="0"/>
  </w:num>
  <w:num w:numId="2" w16cid:durableId="1728408245">
    <w:abstractNumId w:val="3"/>
  </w:num>
  <w:num w:numId="3" w16cid:durableId="1580291884">
    <w:abstractNumId w:val="2"/>
  </w:num>
  <w:num w:numId="4" w16cid:durableId="82158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46"/>
    <w:rsid w:val="001440AE"/>
    <w:rsid w:val="0016147B"/>
    <w:rsid w:val="00201AE3"/>
    <w:rsid w:val="004E34FF"/>
    <w:rsid w:val="005A66E7"/>
    <w:rsid w:val="00611C47"/>
    <w:rsid w:val="00653312"/>
    <w:rsid w:val="006704F7"/>
    <w:rsid w:val="006A114B"/>
    <w:rsid w:val="00843B31"/>
    <w:rsid w:val="008703C0"/>
    <w:rsid w:val="008B1ECE"/>
    <w:rsid w:val="00957BE7"/>
    <w:rsid w:val="00A419F7"/>
    <w:rsid w:val="00BB7873"/>
    <w:rsid w:val="00BC6C02"/>
    <w:rsid w:val="00C66FE2"/>
    <w:rsid w:val="00C70046"/>
    <w:rsid w:val="00CA05AD"/>
    <w:rsid w:val="00D87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071D15"/>
  <w15:chartTrackingRefBased/>
  <w15:docId w15:val="{500A573D-29EE-A248-9825-A74017B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46"/>
    <w:pPr>
      <w:tabs>
        <w:tab w:val="center" w:pos="4680"/>
        <w:tab w:val="right" w:pos="9360"/>
      </w:tabs>
    </w:pPr>
  </w:style>
  <w:style w:type="character" w:customStyle="1" w:styleId="HeaderChar">
    <w:name w:val="Header Char"/>
    <w:basedOn w:val="DefaultParagraphFont"/>
    <w:link w:val="Header"/>
    <w:uiPriority w:val="99"/>
    <w:rsid w:val="00C70046"/>
  </w:style>
  <w:style w:type="paragraph" w:styleId="Footer">
    <w:name w:val="footer"/>
    <w:basedOn w:val="Normal"/>
    <w:link w:val="FooterChar"/>
    <w:uiPriority w:val="99"/>
    <w:unhideWhenUsed/>
    <w:rsid w:val="00C70046"/>
    <w:pPr>
      <w:tabs>
        <w:tab w:val="center" w:pos="4680"/>
        <w:tab w:val="right" w:pos="9360"/>
      </w:tabs>
    </w:pPr>
  </w:style>
  <w:style w:type="character" w:customStyle="1" w:styleId="FooterChar">
    <w:name w:val="Footer Char"/>
    <w:basedOn w:val="DefaultParagraphFont"/>
    <w:link w:val="Footer"/>
    <w:uiPriority w:val="99"/>
    <w:rsid w:val="00C70046"/>
  </w:style>
  <w:style w:type="paragraph" w:styleId="ListParagraph">
    <w:name w:val="List Paragraph"/>
    <w:basedOn w:val="Normal"/>
    <w:uiPriority w:val="34"/>
    <w:qFormat/>
    <w:rsid w:val="00C70046"/>
    <w:pPr>
      <w:ind w:left="720"/>
      <w:contextualSpacing/>
    </w:pPr>
  </w:style>
  <w:style w:type="character" w:styleId="PageNumber">
    <w:name w:val="page number"/>
    <w:basedOn w:val="DefaultParagraphFont"/>
    <w:uiPriority w:val="99"/>
    <w:semiHidden/>
    <w:unhideWhenUsed/>
    <w:rsid w:val="00D87652"/>
  </w:style>
  <w:style w:type="paragraph" w:styleId="NormalWeb">
    <w:name w:val="Normal (Web)"/>
    <w:basedOn w:val="Normal"/>
    <w:uiPriority w:val="99"/>
    <w:semiHidden/>
    <w:unhideWhenUsed/>
    <w:rsid w:val="00611C4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11C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3474">
      <w:bodyDiv w:val="1"/>
      <w:marLeft w:val="0"/>
      <w:marRight w:val="0"/>
      <w:marTop w:val="0"/>
      <w:marBottom w:val="0"/>
      <w:divBdr>
        <w:top w:val="none" w:sz="0" w:space="0" w:color="auto"/>
        <w:left w:val="none" w:sz="0" w:space="0" w:color="auto"/>
        <w:bottom w:val="none" w:sz="0" w:space="0" w:color="auto"/>
        <w:right w:val="none" w:sz="0" w:space="0" w:color="auto"/>
      </w:divBdr>
      <w:divsChild>
        <w:div w:id="766538033">
          <w:marLeft w:val="0"/>
          <w:marRight w:val="0"/>
          <w:marTop w:val="0"/>
          <w:marBottom w:val="0"/>
          <w:divBdr>
            <w:top w:val="none" w:sz="0" w:space="0" w:color="auto"/>
            <w:left w:val="none" w:sz="0" w:space="0" w:color="auto"/>
            <w:bottom w:val="none" w:sz="0" w:space="0" w:color="auto"/>
            <w:right w:val="none" w:sz="0" w:space="0" w:color="auto"/>
          </w:divBdr>
          <w:divsChild>
            <w:div w:id="2058893264">
              <w:marLeft w:val="0"/>
              <w:marRight w:val="0"/>
              <w:marTop w:val="0"/>
              <w:marBottom w:val="0"/>
              <w:divBdr>
                <w:top w:val="none" w:sz="0" w:space="0" w:color="auto"/>
                <w:left w:val="none" w:sz="0" w:space="0" w:color="auto"/>
                <w:bottom w:val="none" w:sz="0" w:space="0" w:color="auto"/>
                <w:right w:val="none" w:sz="0" w:space="0" w:color="auto"/>
              </w:divBdr>
              <w:divsChild>
                <w:div w:id="2096317755">
                  <w:marLeft w:val="0"/>
                  <w:marRight w:val="0"/>
                  <w:marTop w:val="0"/>
                  <w:marBottom w:val="0"/>
                  <w:divBdr>
                    <w:top w:val="none" w:sz="0" w:space="0" w:color="auto"/>
                    <w:left w:val="none" w:sz="0" w:space="0" w:color="auto"/>
                    <w:bottom w:val="none" w:sz="0" w:space="0" w:color="auto"/>
                    <w:right w:val="none" w:sz="0" w:space="0" w:color="auto"/>
                  </w:divBdr>
                  <w:divsChild>
                    <w:div w:id="4775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7353">
      <w:bodyDiv w:val="1"/>
      <w:marLeft w:val="0"/>
      <w:marRight w:val="0"/>
      <w:marTop w:val="0"/>
      <w:marBottom w:val="0"/>
      <w:divBdr>
        <w:top w:val="none" w:sz="0" w:space="0" w:color="auto"/>
        <w:left w:val="none" w:sz="0" w:space="0" w:color="auto"/>
        <w:bottom w:val="none" w:sz="0" w:space="0" w:color="auto"/>
        <w:right w:val="none" w:sz="0" w:space="0" w:color="auto"/>
      </w:divBdr>
      <w:divsChild>
        <w:div w:id="1378895087">
          <w:marLeft w:val="0"/>
          <w:marRight w:val="0"/>
          <w:marTop w:val="0"/>
          <w:marBottom w:val="0"/>
          <w:divBdr>
            <w:top w:val="none" w:sz="0" w:space="0" w:color="auto"/>
            <w:left w:val="none" w:sz="0" w:space="0" w:color="auto"/>
            <w:bottom w:val="none" w:sz="0" w:space="0" w:color="auto"/>
            <w:right w:val="none" w:sz="0" w:space="0" w:color="auto"/>
          </w:divBdr>
          <w:divsChild>
            <w:div w:id="431319406">
              <w:marLeft w:val="0"/>
              <w:marRight w:val="0"/>
              <w:marTop w:val="0"/>
              <w:marBottom w:val="0"/>
              <w:divBdr>
                <w:top w:val="none" w:sz="0" w:space="0" w:color="auto"/>
                <w:left w:val="none" w:sz="0" w:space="0" w:color="auto"/>
                <w:bottom w:val="none" w:sz="0" w:space="0" w:color="auto"/>
                <w:right w:val="none" w:sz="0" w:space="0" w:color="auto"/>
              </w:divBdr>
              <w:divsChild>
                <w:div w:id="504366418">
                  <w:marLeft w:val="0"/>
                  <w:marRight w:val="0"/>
                  <w:marTop w:val="0"/>
                  <w:marBottom w:val="0"/>
                  <w:divBdr>
                    <w:top w:val="none" w:sz="0" w:space="0" w:color="auto"/>
                    <w:left w:val="none" w:sz="0" w:space="0" w:color="auto"/>
                    <w:bottom w:val="none" w:sz="0" w:space="0" w:color="auto"/>
                    <w:right w:val="none" w:sz="0" w:space="0" w:color="auto"/>
                  </w:divBdr>
                  <w:divsChild>
                    <w:div w:id="4060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Gardiner</dc:creator>
  <cp:keywords/>
  <dc:description/>
  <cp:lastModifiedBy>Chris Gardiner</cp:lastModifiedBy>
  <cp:revision>3</cp:revision>
  <dcterms:created xsi:type="dcterms:W3CDTF">2022-11-17T22:36:00Z</dcterms:created>
  <dcterms:modified xsi:type="dcterms:W3CDTF">2022-11-18T04:33:00Z</dcterms:modified>
</cp:coreProperties>
</file>